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grindine"/>
        <w:tag w:val="part_6a2a19864e114bc6be077a8510a851b7"/>
        <w:id w:val="-1107892484"/>
        <w:lock w:val="sdtLocked"/>
        <w:placeholder>
          <w:docPart w:val="DefaultPlaceholder_1082065158"/>
        </w:placeholder>
      </w:sdtPr>
      <w:sdtEndPr/>
      <w:sdtContent>
        <w:p w14:paraId="216A3B99" w14:textId="0855CF3A" w:rsidR="00845066" w:rsidRDefault="00845066" w:rsidP="00845066">
          <w:pPr>
            <w:tabs>
              <w:tab w:val="center" w:pos="4819"/>
              <w:tab w:val="right" w:pos="9071"/>
            </w:tabs>
            <w:overflowPunct w:val="0"/>
            <w:jc w:val="center"/>
            <w:textAlignment w:val="baseline"/>
          </w:pPr>
        </w:p>
        <w:p w14:paraId="158F1C5C" w14:textId="037D1E26" w:rsidR="00437C19" w:rsidRDefault="00845066" w:rsidP="00845066">
          <w:pPr>
            <w:tabs>
              <w:tab w:val="center" w:pos="4819"/>
              <w:tab w:val="right" w:pos="9071"/>
            </w:tabs>
            <w:overflowPunct w:val="0"/>
            <w:jc w:val="center"/>
            <w:textAlignment w:val="baseline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  <w:lang w:eastAsia="lt-LT"/>
            </w:rPr>
            <w:drawing>
              <wp:inline distT="0" distB="0" distL="0" distR="0" wp14:anchorId="158F1CA9" wp14:editId="158F1CAA">
                <wp:extent cx="539115" cy="55245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8F1C5D" w14:textId="77777777" w:rsidR="00437C19" w:rsidRDefault="00437C19">
          <w:pPr>
            <w:rPr>
              <w:sz w:val="2"/>
              <w:szCs w:val="2"/>
            </w:rPr>
          </w:pPr>
        </w:p>
        <w:p w14:paraId="158F1C5F" w14:textId="77777777" w:rsidR="00437C19" w:rsidRDefault="00437C19">
          <w:pPr>
            <w:rPr>
              <w:sz w:val="2"/>
              <w:szCs w:val="2"/>
            </w:rPr>
          </w:pPr>
        </w:p>
        <w:p w14:paraId="158F1C60" w14:textId="77777777" w:rsidR="00437C19" w:rsidRDefault="00845066">
          <w:pPr>
            <w:jc w:val="center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LIETUVOS RESPUBLIKOS ŠVIETIMO IR MOKSLO MINISTRAS</w:t>
          </w:r>
        </w:p>
        <w:p w14:paraId="158F1C61" w14:textId="77777777" w:rsidR="00437C19" w:rsidRDefault="00437C19">
          <w:pPr>
            <w:rPr>
              <w:sz w:val="2"/>
              <w:szCs w:val="2"/>
            </w:rPr>
          </w:pPr>
        </w:p>
        <w:p w14:paraId="158F1C62" w14:textId="77777777" w:rsidR="00437C19" w:rsidRDefault="00437C19">
          <w:pPr>
            <w:overflowPunct w:val="0"/>
            <w:jc w:val="center"/>
            <w:textAlignment w:val="baseline"/>
          </w:pPr>
        </w:p>
        <w:p w14:paraId="158F1C63" w14:textId="77777777" w:rsidR="00437C19" w:rsidRDefault="00437C19">
          <w:pPr>
            <w:rPr>
              <w:sz w:val="2"/>
              <w:szCs w:val="2"/>
            </w:rPr>
          </w:pPr>
        </w:p>
        <w:p w14:paraId="158F1C64" w14:textId="77777777" w:rsidR="00437C19" w:rsidRDefault="00845066">
          <w:pPr>
            <w:overflowPunct w:val="0"/>
            <w:jc w:val="center"/>
            <w:textAlignment w:val="baseline"/>
            <w:rPr>
              <w:b/>
              <w:bCs/>
            </w:rPr>
          </w:pPr>
          <w:r>
            <w:rPr>
              <w:b/>
              <w:bCs/>
            </w:rPr>
            <w:t>ĮSAKYMAS</w:t>
          </w:r>
        </w:p>
        <w:p w14:paraId="158F1C65" w14:textId="77777777" w:rsidR="00437C19" w:rsidRDefault="00437C19">
          <w:pPr>
            <w:rPr>
              <w:sz w:val="2"/>
              <w:szCs w:val="2"/>
            </w:rPr>
          </w:pPr>
        </w:p>
        <w:p w14:paraId="0A42517F" w14:textId="77777777" w:rsidR="00437C19" w:rsidRDefault="00845066">
          <w:pPr>
            <w:overflowPunct w:val="0"/>
            <w:jc w:val="center"/>
            <w:textAlignment w:val="baseline"/>
            <w:rPr>
              <w:b/>
              <w:bCs/>
              <w:caps/>
            </w:rPr>
          </w:pPr>
          <w:r>
            <w:rPr>
              <w:b/>
              <w:bCs/>
            </w:rPr>
            <w:t>DĖL ASMENS ĮGYTŲ KOMPETENCIJŲ VERTINIMO TVARKOS APRAŠO PATVIRTINIMO</w:t>
          </w:r>
        </w:p>
        <w:p w14:paraId="158F1C68" w14:textId="77777777" w:rsidR="00437C19" w:rsidRDefault="00437C19">
          <w:pPr>
            <w:overflowPunct w:val="0"/>
            <w:jc w:val="center"/>
            <w:textAlignment w:val="baseline"/>
          </w:pPr>
        </w:p>
        <w:p w14:paraId="158F1C69" w14:textId="77777777" w:rsidR="00437C19" w:rsidRDefault="00437C19">
          <w:pPr>
            <w:rPr>
              <w:sz w:val="2"/>
              <w:szCs w:val="2"/>
            </w:rPr>
          </w:pPr>
        </w:p>
        <w:p w14:paraId="0488C22E" w14:textId="1F98BEE3" w:rsidR="00437C19" w:rsidRDefault="00845066">
          <w:pPr>
            <w:keepNext/>
            <w:tabs>
              <w:tab w:val="left" w:pos="4927"/>
            </w:tabs>
            <w:overflowPunct w:val="0"/>
            <w:jc w:val="center"/>
            <w:textAlignment w:val="baseline"/>
            <w:outlineLvl w:val="2"/>
          </w:pPr>
          <w:r>
            <w:t>2015 m. sausio 14 d. Nr. V-15</w:t>
          </w:r>
        </w:p>
        <w:p w14:paraId="0D8E1A6F" w14:textId="77777777" w:rsidR="00437C19" w:rsidRDefault="00845066">
          <w:pPr>
            <w:overflowPunct w:val="0"/>
            <w:jc w:val="center"/>
            <w:textAlignment w:val="baseline"/>
            <w:rPr>
              <w:szCs w:val="24"/>
            </w:rPr>
          </w:pPr>
          <w:smartTag w:uri="urn:schemas-tilde-lv/tildestengine" w:element="firmas">
            <w:r>
              <w:rPr>
                <w:szCs w:val="24"/>
              </w:rPr>
              <w:t>Vilnius</w:t>
            </w:r>
          </w:smartTag>
        </w:p>
        <w:p w14:paraId="158F1C6F" w14:textId="77777777" w:rsidR="00437C19" w:rsidRDefault="00437C19">
          <w:pPr>
            <w:overflowPunct w:val="0"/>
            <w:textAlignment w:val="baseline"/>
          </w:pPr>
        </w:p>
        <w:p w14:paraId="5CF03404" w14:textId="77777777" w:rsidR="00437C19" w:rsidRDefault="00437C19">
          <w:pPr>
            <w:overflowPunct w:val="0"/>
            <w:textAlignment w:val="baseline"/>
          </w:pPr>
        </w:p>
        <w:p w14:paraId="158F1C70" w14:textId="65064092" w:rsidR="00437C19" w:rsidRDefault="00437C19">
          <w:pPr>
            <w:rPr>
              <w:sz w:val="2"/>
              <w:szCs w:val="2"/>
            </w:rPr>
          </w:pPr>
        </w:p>
        <w:sdt>
          <w:sdtPr>
            <w:rPr>
              <w:szCs w:val="24"/>
            </w:rPr>
            <w:alias w:val="preambule"/>
            <w:tag w:val="part_a819967c0ae04e32b29dd11b5f0df3d7"/>
            <w:id w:val="-679732776"/>
            <w:lock w:val="sdtLocked"/>
            <w:placeholder>
              <w:docPart w:val="DefaultPlaceholder_1082065158"/>
            </w:placeholder>
          </w:sdtPr>
          <w:sdtEndPr>
            <w:rPr>
              <w:sz w:val="2"/>
              <w:szCs w:val="2"/>
            </w:rPr>
          </w:sdtEndPr>
          <w:sdtContent>
            <w:p w14:paraId="158F1C76" w14:textId="17B73D7D" w:rsidR="00437C19" w:rsidRDefault="00845066">
              <w:pPr>
                <w:tabs>
                  <w:tab w:val="left" w:pos="0"/>
                  <w:tab w:val="left" w:pos="1080"/>
                  <w:tab w:val="left" w:pos="1620"/>
                  <w:tab w:val="left" w:pos="10260"/>
                </w:tabs>
                <w:overflowPunct w:val="0"/>
                <w:ind w:firstLine="1080"/>
                <w:jc w:val="both"/>
                <w:textAlignment w:val="baseline"/>
                <w:rPr>
                  <w:szCs w:val="24"/>
                </w:rPr>
              </w:pPr>
              <w:r>
                <w:rPr>
                  <w:szCs w:val="24"/>
                </w:rPr>
                <w:t>Vadovaudamasis Lietuvos Respublikos profesinio mokymo įstatymo 7 straipsnio 4 dalimi, 11 straipsnio 2 dalimi ir 22 straipsnio 2 dalies 7 punktu:</w:t>
              </w:r>
            </w:p>
            <w:p w14:paraId="158F1C77" w14:textId="39053461" w:rsidR="00437C19" w:rsidRDefault="00CC6FA1">
              <w:pPr>
                <w:rPr>
                  <w:sz w:val="2"/>
                  <w:szCs w:val="2"/>
                </w:rPr>
              </w:pPr>
            </w:p>
          </w:sdtContent>
        </w:sdt>
        <w:sdt>
          <w:sdtPr>
            <w:alias w:val="1 p."/>
            <w:tag w:val="part_3bcfc70fea2e4e2faca6d3e719f0ff46"/>
            <w:id w:val="-1546360016"/>
            <w:lock w:val="sdtLocked"/>
            <w:placeholder>
              <w:docPart w:val="DefaultPlaceholder_1082065158"/>
            </w:placeholder>
          </w:sdtPr>
          <w:sdtEndPr>
            <w:rPr>
              <w:sz w:val="2"/>
              <w:szCs w:val="2"/>
            </w:rPr>
          </w:sdtEndPr>
          <w:sdtContent>
            <w:p w14:paraId="158F1C78" w14:textId="6EF1EBAA" w:rsidR="00437C19" w:rsidRDefault="00CC6FA1">
              <w:pPr>
                <w:tabs>
                  <w:tab w:val="left" w:pos="0"/>
                  <w:tab w:val="left" w:pos="1080"/>
                  <w:tab w:val="left" w:pos="1620"/>
                  <w:tab w:val="left" w:pos="10260"/>
                </w:tabs>
                <w:overflowPunct w:val="0"/>
                <w:ind w:firstLine="1080"/>
                <w:jc w:val="both"/>
                <w:textAlignment w:val="baseline"/>
                <w:rPr>
                  <w:szCs w:val="24"/>
                </w:rPr>
              </w:pPr>
              <w:sdt>
                <w:sdtPr>
                  <w:alias w:val="Numeris"/>
                  <w:tag w:val="nr_3bcfc70fea2e4e2faca6d3e719f0ff46"/>
                  <w:id w:val="-1691284435"/>
                  <w:lock w:val="sdtLocked"/>
                </w:sdtPr>
                <w:sdtEndPr/>
                <w:sdtContent>
                  <w:r w:rsidR="00845066">
                    <w:rPr>
                      <w:szCs w:val="24"/>
                    </w:rPr>
                    <w:t>1</w:t>
                  </w:r>
                </w:sdtContent>
              </w:sdt>
              <w:r w:rsidR="00845066">
                <w:rPr>
                  <w:szCs w:val="24"/>
                </w:rPr>
                <w:t>. T v i r t i n u  Asmens įgytų kompetencijų vertinimo tvarkos aprašą (pridedama).</w:t>
              </w:r>
            </w:p>
            <w:p w14:paraId="158F1C79" w14:textId="1435AECF" w:rsidR="00437C19" w:rsidRDefault="00CC6FA1">
              <w:pPr>
                <w:rPr>
                  <w:sz w:val="2"/>
                  <w:szCs w:val="2"/>
                </w:rPr>
              </w:pPr>
            </w:p>
          </w:sdtContent>
        </w:sdt>
        <w:sdt>
          <w:sdtPr>
            <w:alias w:val="2 p."/>
            <w:tag w:val="part_29ef44545f934fc9ad8eec3f355c41f8"/>
            <w:id w:val="-1765988206"/>
            <w:lock w:val="sdtLocked"/>
            <w:placeholder>
              <w:docPart w:val="DefaultPlaceholder_1082065158"/>
            </w:placeholder>
          </w:sdtPr>
          <w:sdtEndPr>
            <w:rPr>
              <w:sz w:val="2"/>
              <w:szCs w:val="2"/>
            </w:rPr>
          </w:sdtEndPr>
          <w:sdtContent>
            <w:p w14:paraId="158F1C7A" w14:textId="5CEEAC90" w:rsidR="00437C19" w:rsidRDefault="00CC6FA1">
              <w:pPr>
                <w:tabs>
                  <w:tab w:val="left" w:pos="0"/>
                  <w:tab w:val="left" w:pos="1080"/>
                  <w:tab w:val="left" w:pos="1620"/>
                  <w:tab w:val="left" w:pos="10260"/>
                </w:tabs>
                <w:overflowPunct w:val="0"/>
                <w:ind w:firstLine="1080"/>
                <w:jc w:val="both"/>
                <w:textAlignment w:val="baseline"/>
                <w:rPr>
                  <w:szCs w:val="24"/>
                </w:rPr>
              </w:pPr>
              <w:sdt>
                <w:sdtPr>
                  <w:alias w:val="Numeris"/>
                  <w:tag w:val="nr_29ef44545f934fc9ad8eec3f355c41f8"/>
                  <w:id w:val="-2139867447"/>
                  <w:lock w:val="sdtLocked"/>
                </w:sdtPr>
                <w:sdtEndPr/>
                <w:sdtContent>
                  <w:r w:rsidR="00845066">
                    <w:rPr>
                      <w:szCs w:val="24"/>
                    </w:rPr>
                    <w:t>2</w:t>
                  </w:r>
                </w:sdtContent>
              </w:sdt>
              <w:r w:rsidR="00845066">
                <w:rPr>
                  <w:szCs w:val="24"/>
                </w:rPr>
                <w:t>. P r i p a ž į s t u netekusiu galios Lietuvos Respublikos švietimo ir mokslo ministro 2012 m. gruodžio 11 d. įsakymą Nr. V-1710 „Dėl Asmens įgytų kompetencijų vertinimo tvarkos aprašo patvirtinimo“.</w:t>
              </w:r>
            </w:p>
            <w:p w14:paraId="158F1C7B" w14:textId="5C8361F6" w:rsidR="00437C19" w:rsidRDefault="00CC6FA1">
              <w:pPr>
                <w:rPr>
                  <w:sz w:val="2"/>
                  <w:szCs w:val="2"/>
                </w:rPr>
              </w:pPr>
            </w:p>
          </w:sdtContent>
        </w:sdt>
        <w:sdt>
          <w:sdtPr>
            <w:alias w:val="3 p."/>
            <w:tag w:val="part_d8a50ce0860d43b695a3d52b84870190"/>
            <w:id w:val="-39363485"/>
            <w:lock w:val="sdtLocked"/>
            <w:placeholder>
              <w:docPart w:val="DefaultPlaceholder_1082065158"/>
            </w:placeholder>
          </w:sdtPr>
          <w:sdtEndPr/>
          <w:sdtContent>
            <w:p w14:paraId="158F1C7E" w14:textId="537306AE" w:rsidR="00437C19" w:rsidRPr="00845066" w:rsidRDefault="00CC6FA1" w:rsidP="00845066">
              <w:pPr>
                <w:tabs>
                  <w:tab w:val="left" w:pos="0"/>
                  <w:tab w:val="left" w:pos="1080"/>
                  <w:tab w:val="left" w:pos="1620"/>
                  <w:tab w:val="left" w:pos="10260"/>
                </w:tabs>
                <w:overflowPunct w:val="0"/>
                <w:ind w:firstLine="1080"/>
                <w:jc w:val="both"/>
                <w:textAlignment w:val="baseline"/>
                <w:rPr>
                  <w:szCs w:val="24"/>
                  <w:lang w:val="en-GB"/>
                </w:rPr>
              </w:pPr>
              <w:sdt>
                <w:sdtPr>
                  <w:alias w:val="Numeris"/>
                  <w:tag w:val="nr_d8a50ce0860d43b695a3d52b84870190"/>
                  <w:id w:val="1513945149"/>
                  <w:lock w:val="sdtLocked"/>
                </w:sdtPr>
                <w:sdtEndPr/>
                <w:sdtContent>
                  <w:r w:rsidR="00845066">
                    <w:rPr>
                      <w:szCs w:val="24"/>
                    </w:rPr>
                    <w:t>3</w:t>
                  </w:r>
                </w:sdtContent>
              </w:sdt>
              <w:r w:rsidR="00845066">
                <w:rPr>
                  <w:szCs w:val="24"/>
                </w:rPr>
                <w:t xml:space="preserve">. </w:t>
              </w:r>
              <w:r w:rsidR="00845066">
                <w:rPr>
                  <w:szCs w:val="24"/>
                  <w:lang w:val="en-GB"/>
                </w:rPr>
                <w:t xml:space="preserve">Šis įsakymas įsigalioja nuo 2015 m. </w:t>
              </w:r>
              <w:proofErr w:type="spellStart"/>
              <w:r w:rsidR="00845066">
                <w:rPr>
                  <w:szCs w:val="24"/>
                  <w:lang w:val="en-GB"/>
                </w:rPr>
                <w:t>kovo</w:t>
              </w:r>
              <w:proofErr w:type="spellEnd"/>
              <w:r w:rsidR="00845066">
                <w:rPr>
                  <w:szCs w:val="24"/>
                  <w:lang w:val="en-GB"/>
                </w:rPr>
                <w:t xml:space="preserve"> 2 </w:t>
              </w:r>
              <w:proofErr w:type="spellStart"/>
              <w:r w:rsidR="00845066">
                <w:rPr>
                  <w:szCs w:val="24"/>
                  <w:lang w:val="en-GB"/>
                </w:rPr>
                <w:t>dienos</w:t>
              </w:r>
              <w:proofErr w:type="spellEnd"/>
              <w:r w:rsidR="00845066">
                <w:rPr>
                  <w:szCs w:val="24"/>
                  <w:lang w:val="en-GB"/>
                </w:rPr>
                <w:t>.</w:t>
              </w:r>
            </w:p>
            <w:p w14:paraId="158F1C7F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158F1C86" w14:textId="0BFBB64F" w:rsidR="00437C19" w:rsidRDefault="00CC6FA1">
              <w:pPr>
                <w:overflowPunct w:val="0"/>
                <w:jc w:val="both"/>
                <w:textAlignment w:val="baseline"/>
                <w:sectPr w:rsidR="00437C19">
                  <w:headerReference w:type="even" r:id="rId11"/>
                  <w:headerReference w:type="default" r:id="rId12"/>
                  <w:footerReference w:type="even" r:id="rId13"/>
                  <w:footerReference w:type="default" r:id="rId14"/>
                  <w:headerReference w:type="first" r:id="rId15"/>
                  <w:footerReference w:type="first" r:id="rId16"/>
                  <w:type w:val="continuous"/>
                  <w:pgSz w:w="11907" w:h="16840" w:code="9"/>
                  <w:pgMar w:top="1138" w:right="562" w:bottom="1238" w:left="1699" w:header="288" w:footer="720" w:gutter="0"/>
                  <w:cols w:space="720"/>
                  <w:formProt w:val="0"/>
                  <w:noEndnote/>
                  <w:titlePg/>
                </w:sectPr>
              </w:pPr>
            </w:p>
          </w:sdtContent>
        </w:sdt>
        <w:sdt>
          <w:sdtPr>
            <w:alias w:val="signatura"/>
            <w:tag w:val="part_23c3b76241134788a22384e6933654da"/>
            <w:id w:val="-307245198"/>
            <w:lock w:val="sdtLocked"/>
            <w:placeholder>
              <w:docPart w:val="DefaultPlaceholder_1082065158"/>
            </w:placeholder>
          </w:sdtPr>
          <w:sdtEndPr>
            <w:rPr>
              <w:rFonts w:ascii="HelveticaLT" w:hAnsi="HelveticaLT"/>
            </w:rPr>
          </w:sdtEndPr>
          <w:sdtContent>
            <w:p w14:paraId="5B528BF3" w14:textId="77777777" w:rsidR="00845066" w:rsidRDefault="00845066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2996585E" w14:textId="77777777" w:rsidR="00845066" w:rsidRDefault="00845066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07C8DF86" w14:textId="77777777" w:rsidR="00845066" w:rsidRDefault="00845066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7D755AE6" w14:textId="08CFDE78" w:rsidR="00437C19" w:rsidRDefault="00845066">
              <w:pPr>
                <w:tabs>
                  <w:tab w:val="left" w:pos="5778"/>
                </w:tabs>
                <w:overflowPunct w:val="0"/>
                <w:textAlignment w:val="baseline"/>
              </w:pPr>
              <w:r>
                <w:t xml:space="preserve">Švietimo ir mokslo ministras </w:t>
              </w:r>
              <w:r>
                <w:tab/>
              </w:r>
              <w:r>
                <w:tab/>
              </w:r>
              <w:r>
                <w:tab/>
                <w:t>Dainius Pavalkis</w:t>
              </w:r>
            </w:p>
            <w:p w14:paraId="54630328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757D00D3" w14:textId="77777777" w:rsidR="00437C19" w:rsidRDefault="00437C19">
              <w:pPr>
                <w:overflowPunct w:val="0"/>
                <w:jc w:val="both"/>
                <w:textAlignment w:val="baseline"/>
              </w:pPr>
            </w:p>
            <w:p w14:paraId="5795A30D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229D0211" w14:textId="77777777" w:rsidR="00437C19" w:rsidRDefault="00437C19">
              <w:pPr>
                <w:overflowPunct w:val="0"/>
                <w:jc w:val="both"/>
                <w:textAlignment w:val="baseline"/>
              </w:pPr>
            </w:p>
            <w:p w14:paraId="7C64FF91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49AD631F" w14:textId="77777777" w:rsidR="00437C19" w:rsidRDefault="00437C19">
              <w:pPr>
                <w:overflowPunct w:val="0"/>
                <w:jc w:val="both"/>
                <w:textAlignment w:val="baseline"/>
              </w:pPr>
            </w:p>
            <w:p w14:paraId="1BC0896F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446533C0" w14:textId="77777777" w:rsidR="00437C19" w:rsidRDefault="00845066">
              <w:pPr>
                <w:overflowPunct w:val="0"/>
                <w:jc w:val="both"/>
                <w:textAlignment w:val="baseline"/>
              </w:pPr>
              <w:r>
                <w:t>SUDERINTA</w:t>
              </w:r>
            </w:p>
            <w:p w14:paraId="797F3113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1F8AAE6D" w14:textId="77777777" w:rsidR="00437C19" w:rsidRDefault="00845066">
              <w:pPr>
                <w:overflowPunct w:val="0"/>
                <w:jc w:val="both"/>
                <w:textAlignment w:val="baseline"/>
              </w:pPr>
              <w:r>
                <w:t xml:space="preserve">Lietuvos Respublikos ūkio ministerijos </w:t>
              </w:r>
            </w:p>
            <w:p w14:paraId="26523D21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3BFFD0F0" w14:textId="77777777" w:rsidR="00437C19" w:rsidRDefault="00845066">
              <w:pPr>
                <w:overflowPunct w:val="0"/>
                <w:jc w:val="both"/>
                <w:textAlignment w:val="baseline"/>
              </w:pPr>
              <w:r>
                <w:t xml:space="preserve">2014 m. gruodžio 15 d. </w:t>
              </w:r>
            </w:p>
            <w:p w14:paraId="5FFF58A2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61F829B3" w14:textId="77777777" w:rsidR="00437C19" w:rsidRDefault="00845066">
              <w:pPr>
                <w:overflowPunct w:val="0"/>
                <w:jc w:val="both"/>
                <w:textAlignment w:val="baseline"/>
              </w:pPr>
              <w:r>
                <w:t>raštu Nr. (34.3-182)-3-6682</w:t>
              </w:r>
            </w:p>
            <w:p w14:paraId="0864929F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158F1CA5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158F1CA6" w14:textId="77777777" w:rsidR="00437C19" w:rsidRDefault="00437C19">
              <w:pPr>
                <w:overflowPunct w:val="0"/>
                <w:jc w:val="both"/>
                <w:textAlignment w:val="baseline"/>
                <w:rPr>
                  <w:rFonts w:ascii="HelveticaLT" w:hAnsi="HelveticaLT"/>
                </w:rPr>
              </w:pPr>
            </w:p>
            <w:p w14:paraId="158F1CA7" w14:textId="77777777" w:rsidR="00437C19" w:rsidRDefault="00437C19">
              <w:pPr>
                <w:rPr>
                  <w:sz w:val="2"/>
                  <w:szCs w:val="2"/>
                </w:rPr>
              </w:pPr>
            </w:p>
            <w:p w14:paraId="158F1CA8" w14:textId="4FE18977" w:rsidR="00437C19" w:rsidRDefault="00845066">
              <w:pPr>
                <w:overflowPunct w:val="0"/>
                <w:jc w:val="both"/>
                <w:textAlignment w:val="baseline"/>
                <w:rPr>
                  <w:rFonts w:ascii="HelveticaLT" w:hAnsi="HelveticaLT"/>
                </w:rPr>
              </w:pPr>
              <w:r>
                <w:rPr>
                  <w:rFonts w:ascii="HelveticaLT" w:hAnsi="HelveticaLT"/>
                </w:rPr>
                <w:t>     </w:t>
              </w:r>
            </w:p>
          </w:sdtContent>
        </w:sdt>
      </w:sdtContent>
    </w:sdt>
    <w:sectPr w:rsidR="00437C19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58AC" w14:textId="77777777" w:rsidR="00CC6FA1" w:rsidRDefault="00CC6FA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DD9AFEC" w14:textId="77777777" w:rsidR="00CC6FA1" w:rsidRDefault="00CC6FA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B1" w14:textId="77777777" w:rsidR="00437C19" w:rsidRDefault="00845066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158F1CB2" w14:textId="77777777" w:rsidR="00437C19" w:rsidRDefault="00437C1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B3" w14:textId="77777777" w:rsidR="00437C19" w:rsidRDefault="00845066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Isakymas</w:t>
    </w:r>
  </w:p>
  <w:p w14:paraId="158F1CB4" w14:textId="77777777" w:rsidR="00437C19" w:rsidRDefault="00437C1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B6" w14:textId="77777777" w:rsidR="00437C19" w:rsidRDefault="00845066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Isakymas</w:t>
    </w:r>
  </w:p>
  <w:p w14:paraId="158F1CB7" w14:textId="77777777" w:rsidR="00437C19" w:rsidRDefault="00437C19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1934" w14:textId="77777777" w:rsidR="00CC6FA1" w:rsidRDefault="00CC6FA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0211E32" w14:textId="77777777" w:rsidR="00CC6FA1" w:rsidRDefault="00CC6FA1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AF" w14:textId="77777777" w:rsidR="00437C19" w:rsidRDefault="00437C19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B0" w14:textId="77777777" w:rsidR="00437C19" w:rsidRDefault="00437C19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1CB5" w14:textId="77777777" w:rsidR="00437C19" w:rsidRDefault="00437C19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2"/>
    <w:rsid w:val="001F645A"/>
    <w:rsid w:val="00437C19"/>
    <w:rsid w:val="00845066"/>
    <w:rsid w:val="00B42192"/>
    <w:rsid w:val="00C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158F1C5B"/>
  <w15:docId w15:val="{C2702470-A2D3-42F0-BCBF-6921900D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45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EFE9A0-1E71-4B38-BB7C-124F7A2967EC}"/>
      </w:docPartPr>
      <w:docPartBody>
        <w:p w:rsidR="00B603A5" w:rsidRDefault="001922B8">
          <w:r w:rsidRPr="006C415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8"/>
    <w:rsid w:val="001922B8"/>
    <w:rsid w:val="003E2F1B"/>
    <w:rsid w:val="00B6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2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arts xmlns="http://lrs.lt/TAIS/DocParts">
  <Part Type="pagrindine" DocPartId="8e2fbf8b2dd948d0878d5e4c3ee4c7f2" PartId="6a2a19864e114bc6be077a8510a851b7">
    <Part Type="preambule" Nr="" Abbr="" Title="" Notes="" DocPartId="d7bccdb042fe4d63aea8be6304ddb759" PartId="a819967c0ae04e32b29dd11b5f0df3d7"/>
    <Part Type="punktas" Nr="1" Abbr="1 p." DocPartId="bbad5dc6eeee470fa809f3433cf9a823" PartId="3bcfc70fea2e4e2faca6d3e719f0ff46"/>
    <Part Type="punktas" Nr="2" Abbr="2 p." DocPartId="b8e551fb8b614a79bae80286cfcf2a4b" PartId="29ef44545f934fc9ad8eec3f355c41f8"/>
    <Part Type="punktas" Nr="3" Abbr="3 p." DocPartId="4735be6f6e6746d39b2de7b531305e0d" PartId="d8a50ce0860d43b695a3d52b84870190"/>
    <Part Type="signatura" Nr="" Abbr="" Title="" Notes="" DocPartId="afaeb97c53e4476c837f6583a971ba04" PartId="23c3b76241134788a22384e6933654da"/>
  </Part>
</Part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d1bf74d0-0202-4fc7-a295-9ef8e84acc5a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6A6E2C-F645-43C0-AC96-6523BF97E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DD918-E967-4868-90B0-40BA5CB85DB5}">
  <ds:schemaRefs>
    <ds:schemaRef ds:uri="http://lrs.lt/TAIS/DocParts"/>
  </ds:schemaRefs>
</ds:datastoreItem>
</file>

<file path=customXml/itemProps3.xml><?xml version="1.0" encoding="utf-8"?>
<ds:datastoreItem xmlns:ds="http://schemas.openxmlformats.org/officeDocument/2006/customXml" ds:itemID="{6FF1531D-2E53-430A-9B96-89009F1EB9AF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D85EF040-9E4A-4CC2-A839-5D1A68B1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Isakymas.docx</vt:lpstr>
    </vt:vector>
  </TitlesOfParts>
  <Company>VKS</Company>
  <LinksUpToDate>false</LinksUpToDate>
  <CharactersWithSpaces>860</CharactersWithSpaces>
  <SharedDoc>false</SharedDoc>
  <HyperlinkBase/>
  <HLinks>
    <vt:vector size="18" baseType="variant">
      <vt:variant>
        <vt:i4>6815853</vt:i4>
      </vt:variant>
      <vt:variant>
        <vt:i4>17</vt:i4>
      </vt:variant>
      <vt:variant>
        <vt:i4>0</vt:i4>
      </vt:variant>
      <vt:variant>
        <vt:i4>5</vt:i4>
      </vt:variant>
      <vt:variant>
        <vt:lpwstr>http://litlex:81/Litlex/ll.dll?Tekstas=1&amp;Id=69063&amp;BF=1</vt:lpwstr>
      </vt:variant>
      <vt:variant>
        <vt:lpwstr/>
      </vt:variant>
      <vt:variant>
        <vt:i4>589874</vt:i4>
      </vt:variant>
      <vt:variant>
        <vt:i4>14</vt:i4>
      </vt:variant>
      <vt:variant>
        <vt:i4>0</vt:i4>
      </vt:variant>
      <vt:variant>
        <vt:i4>5</vt:i4>
      </vt:variant>
      <vt:variant>
        <vt:lpwstr>http://litlex:81/Litlex/LL.DLL?Tekstas=1?Id=84623&amp;Zd=&amp;BF=4&amp;TikTxt=1&amp;LLKompId=04097446&amp;LLKompTest=16556561</vt:lpwstr>
      </vt:variant>
      <vt:variant>
        <vt:lpwstr>P69063_2</vt:lpwstr>
      </vt:variant>
      <vt:variant>
        <vt:i4>6815853</vt:i4>
      </vt:variant>
      <vt:variant>
        <vt:i4>11</vt:i4>
      </vt:variant>
      <vt:variant>
        <vt:i4>0</vt:i4>
      </vt:variant>
      <vt:variant>
        <vt:i4>5</vt:i4>
      </vt:variant>
      <vt:variant>
        <vt:lpwstr>http://litlex:81/Litlex/ll.dll?Tekstas=1&amp;Id=69063&amp;BF=1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Isakymas.docx</dc:title>
  <dc:creator>rzukauskaite</dc:creator>
  <cp:lastModifiedBy>„Windows“ vartotojas</cp:lastModifiedBy>
  <cp:revision>2</cp:revision>
  <cp:lastPrinted>2015-01-06T09:57:00Z</cp:lastPrinted>
  <dcterms:created xsi:type="dcterms:W3CDTF">2017-05-10T07:41:00Z</dcterms:created>
  <dcterms:modified xsi:type="dcterms:W3CDTF">2017-05-10T07:41:00Z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